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156" w:beforeLines="50"/>
        <w:jc w:val="center"/>
        <w:rPr>
          <w:rFonts w:ascii="黑体" w:hAnsi="黑体" w:eastAsia="黑体"/>
          <w:b/>
          <w:color w:val="000000"/>
          <w:sz w:val="40"/>
          <w:szCs w:val="44"/>
        </w:rPr>
      </w:pPr>
      <w:bookmarkStart w:id="0" w:name="_Toc414614594"/>
      <w:bookmarkStart w:id="1" w:name="_Toc25824"/>
      <w:bookmarkStart w:id="2" w:name="_Toc414266274"/>
      <w:bookmarkStart w:id="3" w:name="_Toc421277690"/>
      <w:bookmarkStart w:id="4" w:name="_Toc427148984"/>
      <w:bookmarkStart w:id="5" w:name="_Toc414266428"/>
      <w:r>
        <w:rPr>
          <w:rFonts w:hint="eastAsia" w:ascii="黑体" w:hAnsi="黑体" w:eastAsia="黑体"/>
          <w:b/>
          <w:color w:val="000000"/>
          <w:sz w:val="40"/>
          <w:szCs w:val="44"/>
        </w:rPr>
        <w:t>温江区和居路幼儿园多功能厅家具采购方案</w:t>
      </w:r>
    </w:p>
    <w:p>
      <w:pPr>
        <w:pStyle w:val="10"/>
        <w:spacing w:before="156" w:beforeLines="50"/>
        <w:jc w:val="center"/>
        <w:rPr>
          <w:rFonts w:ascii="宋体" w:hAnsi="宋体" w:cs="宋体"/>
          <w:b/>
          <w:color w:val="000000"/>
          <w:sz w:val="24"/>
          <w:szCs w:val="24"/>
        </w:rPr>
      </w:pPr>
    </w:p>
    <w:bookmarkEnd w:id="0"/>
    <w:bookmarkEnd w:id="1"/>
    <w:bookmarkEnd w:id="2"/>
    <w:bookmarkEnd w:id="3"/>
    <w:bookmarkEnd w:id="4"/>
    <w:bookmarkEnd w:id="5"/>
    <w:p>
      <w:pPr>
        <w:pStyle w:val="10"/>
        <w:spacing w:before="156" w:beforeLines="50" w:after="156" w:afterLines="50"/>
        <w:outlineLvl w:val="0"/>
        <w:rPr>
          <w:rFonts w:ascii="宋体" w:hAnsi="宋体" w:cs="宋体"/>
          <w:b/>
          <w:sz w:val="24"/>
          <w:szCs w:val="24"/>
        </w:rPr>
      </w:pPr>
      <w:bookmarkStart w:id="6" w:name="_Toc477520588"/>
      <w:r>
        <w:rPr>
          <w:rFonts w:hint="eastAsia" w:ascii="宋体" w:hAnsi="宋体" w:cs="宋体"/>
          <w:b/>
          <w:sz w:val="24"/>
          <w:szCs w:val="24"/>
        </w:rPr>
        <w:t>一、项目背景</w:t>
      </w:r>
      <w:bookmarkEnd w:id="6"/>
    </w:p>
    <w:p>
      <w:pPr>
        <w:pStyle w:val="10"/>
        <w:spacing w:before="156" w:beforeLines="50" w:after="156" w:afterLines="50" w:line="360" w:lineRule="auto"/>
        <w:ind w:firstLine="480" w:firstLineChars="200"/>
        <w:outlineLvl w:val="0"/>
        <w:rPr>
          <w:rFonts w:ascii="宋体" w:hAnsi="宋体" w:cs="宋体"/>
          <w:bCs/>
          <w:sz w:val="24"/>
          <w:szCs w:val="24"/>
        </w:rPr>
      </w:pPr>
      <w:bookmarkStart w:id="7" w:name="_Toc477520589"/>
      <w:bookmarkStart w:id="8" w:name="_Toc454289276"/>
      <w:bookmarkStart w:id="9" w:name="_Toc449538971"/>
      <w:r>
        <w:rPr>
          <w:rFonts w:hint="eastAsia" w:ascii="宋体" w:hAnsi="宋体" w:cs="宋体"/>
          <w:bCs/>
          <w:sz w:val="24"/>
          <w:szCs w:val="24"/>
        </w:rPr>
        <w:t>成都市温江区和居路幼儿园位于温江区永宁街道芙蓉数居7号，是温江区推进学前教育三年行动计划实施过程中新成立的一所公办幼儿园。该园于2021年9月1日正式开园，</w:t>
      </w:r>
      <w:r>
        <w:rPr>
          <w:rFonts w:hint="eastAsia" w:ascii="宋体" w:hAnsi="宋体" w:cs="宋体"/>
          <w:color w:val="000000"/>
          <w:kern w:val="44"/>
          <w:sz w:val="24"/>
          <w:szCs w:val="24"/>
        </w:rPr>
        <w:t>占地面积5058.65平方米，建筑面积3156.24平方米，12个教学班规模，可容纳幼儿360人</w:t>
      </w:r>
      <w:r>
        <w:rPr>
          <w:rFonts w:hint="eastAsia" w:ascii="宋体" w:hAnsi="宋体" w:cs="宋体"/>
          <w:bCs/>
          <w:sz w:val="24"/>
          <w:szCs w:val="24"/>
        </w:rPr>
        <w:t>。幼儿园多功能厅面积248.12平方米，是全园教师集会、家长宣传、幼儿演出的重要场所。按照成都市等级园标准、以及国家级普及普惠创建工作要求，我园急需采购一批功能室家具，以此提升幼儿园办园品质。</w:t>
      </w:r>
    </w:p>
    <w:p>
      <w:pPr>
        <w:pStyle w:val="10"/>
        <w:numPr>
          <w:ilvl w:val="0"/>
          <w:numId w:val="1"/>
        </w:numPr>
        <w:spacing w:before="156" w:beforeLines="50" w:after="156" w:afterLines="50"/>
        <w:outlineLvl w:val="0"/>
        <w:rPr>
          <w:rFonts w:ascii="宋体" w:hAnsi="宋体" w:cs="宋体"/>
          <w:b/>
          <w:sz w:val="24"/>
          <w:szCs w:val="24"/>
        </w:rPr>
      </w:pPr>
      <w:r>
        <w:rPr>
          <w:rFonts w:hint="eastAsia" w:ascii="宋体" w:hAnsi="宋体" w:cs="宋体"/>
          <w:b/>
          <w:sz w:val="24"/>
          <w:szCs w:val="24"/>
        </w:rPr>
        <w:t>设计原则</w:t>
      </w:r>
      <w:bookmarkEnd w:id="7"/>
      <w:bookmarkEnd w:id="8"/>
      <w:bookmarkEnd w:id="9"/>
    </w:p>
    <w:p>
      <w:pPr>
        <w:pStyle w:val="10"/>
        <w:spacing w:before="156" w:beforeLines="50" w:after="156" w:afterLines="50"/>
        <w:ind w:firstLine="480" w:firstLineChars="200"/>
        <w:outlineLvl w:val="0"/>
        <w:rPr>
          <w:rFonts w:ascii="宋体" w:hAnsi="宋体" w:cs="宋体"/>
          <w:sz w:val="24"/>
          <w:szCs w:val="24"/>
        </w:rPr>
      </w:pPr>
      <w:r>
        <w:rPr>
          <w:rFonts w:hint="eastAsia" w:ascii="宋体" w:hAnsi="宋体" w:cs="宋体"/>
          <w:sz w:val="24"/>
          <w:szCs w:val="24"/>
        </w:rPr>
        <w:t>功能厅设备主要是会议、授课培训、演讲报告、等文化活动使用。需具备以下原则：</w:t>
      </w:r>
    </w:p>
    <w:p>
      <w:pPr>
        <w:spacing w:line="360" w:lineRule="auto"/>
        <w:ind w:firstLine="480" w:firstLineChars="200"/>
        <w:rPr>
          <w:rFonts w:ascii="宋体" w:hAnsi="宋体" w:cs="宋体"/>
          <w:sz w:val="24"/>
        </w:rPr>
      </w:pPr>
      <w:r>
        <w:rPr>
          <w:rFonts w:hint="eastAsia" w:ascii="宋体" w:hAnsi="宋体" w:cs="宋体"/>
          <w:sz w:val="24"/>
        </w:rPr>
        <w:t>1.环保性：家具材质选择需环保，符合环保标准。</w:t>
      </w:r>
    </w:p>
    <w:p>
      <w:pPr>
        <w:pStyle w:val="2"/>
        <w:spacing w:line="360" w:lineRule="auto"/>
        <w:ind w:firstLine="480" w:firstLineChars="200"/>
        <w:rPr>
          <w:rFonts w:ascii="宋体" w:hAnsi="宋体" w:cs="宋体"/>
          <w:sz w:val="24"/>
        </w:rPr>
      </w:pPr>
      <w:r>
        <w:rPr>
          <w:rFonts w:hint="eastAsia" w:ascii="宋体" w:hAnsi="宋体" w:cs="宋体"/>
          <w:sz w:val="24"/>
        </w:rPr>
        <w:t>2.安全性：家具产品线条应圆润流畅，表面处理要细腻，高低适中、牢固耐用、易于清洗保养。</w:t>
      </w:r>
    </w:p>
    <w:p>
      <w:pPr>
        <w:pStyle w:val="2"/>
        <w:spacing w:line="360" w:lineRule="auto"/>
        <w:ind w:firstLine="480" w:firstLineChars="200"/>
        <w:rPr>
          <w:rFonts w:ascii="宋体" w:hAnsi="宋体" w:cs="宋体"/>
          <w:sz w:val="24"/>
        </w:rPr>
      </w:pPr>
      <w:r>
        <w:rPr>
          <w:rFonts w:hint="eastAsia" w:ascii="宋体" w:hAnsi="宋体" w:cs="宋体"/>
          <w:sz w:val="24"/>
        </w:rPr>
        <w:t>3.功能性：各类家具需根据设计要求体现多种用途，便于功能厅多种形式使用，同时便于使用人收整。</w:t>
      </w:r>
    </w:p>
    <w:p>
      <w:pPr>
        <w:pStyle w:val="2"/>
        <w:spacing w:line="360" w:lineRule="auto"/>
        <w:ind w:firstLine="480" w:firstLineChars="200"/>
        <w:rPr>
          <w:rFonts w:ascii="宋体" w:hAnsi="宋体" w:cs="宋体"/>
          <w:sz w:val="24"/>
        </w:rPr>
      </w:pPr>
      <w:r>
        <w:rPr>
          <w:rFonts w:hint="eastAsia" w:ascii="宋体" w:hAnsi="宋体" w:cs="宋体"/>
          <w:sz w:val="24"/>
        </w:rPr>
        <w:t>4.平面图：</w:t>
      </w:r>
    </w:p>
    <w:p>
      <w:pPr>
        <w:pStyle w:val="2"/>
        <w:spacing w:line="360" w:lineRule="auto"/>
        <w:ind w:firstLine="480" w:firstLineChars="200"/>
        <w:rPr>
          <w:rFonts w:ascii="宋体" w:hAnsi="宋体" w:cs="宋体"/>
          <w:sz w:val="24"/>
        </w:rPr>
      </w:pPr>
      <w:r>
        <w:rPr>
          <w:rFonts w:hint="eastAsia" w:ascii="宋体" w:hAnsi="宋体" w:cs="宋体"/>
          <w:sz w:val="24"/>
        </w:rPr>
        <w:drawing>
          <wp:inline distT="0" distB="0" distL="114300" distR="114300">
            <wp:extent cx="4206240" cy="3005455"/>
            <wp:effectExtent l="0" t="0" r="3810" b="4445"/>
            <wp:docPr id="6" name="图片 6" descr="5a3a0eafb39f8b5aeeb3725f0643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a3a0eafb39f8b5aeeb3725f0643c31"/>
                    <pic:cNvPicPr>
                      <a:picLocks noChangeAspect="1"/>
                    </pic:cNvPicPr>
                  </pic:nvPicPr>
                  <pic:blipFill>
                    <a:blip r:embed="rId4"/>
                    <a:stretch>
                      <a:fillRect/>
                    </a:stretch>
                  </pic:blipFill>
                  <pic:spPr>
                    <a:xfrm>
                      <a:off x="0" y="0"/>
                      <a:ext cx="4206240" cy="3005455"/>
                    </a:xfrm>
                    <a:prstGeom prst="rect">
                      <a:avLst/>
                    </a:prstGeom>
                  </pic:spPr>
                </pic:pic>
              </a:graphicData>
            </a:graphic>
          </wp:inline>
        </w:drawing>
      </w:r>
    </w:p>
    <w:p>
      <w:pPr>
        <w:pStyle w:val="2"/>
        <w:spacing w:line="360" w:lineRule="auto"/>
        <w:ind w:firstLine="2880" w:firstLineChars="1200"/>
        <w:rPr>
          <w:rFonts w:ascii="宋体" w:hAnsi="宋体" w:cs="宋体"/>
          <w:sz w:val="24"/>
        </w:rPr>
      </w:pPr>
      <w:r>
        <w:rPr>
          <w:rFonts w:hint="eastAsia" w:ascii="宋体" w:hAnsi="宋体" w:cs="宋体"/>
          <w:sz w:val="24"/>
        </w:rPr>
        <w:t>（平面设计图）</w:t>
      </w:r>
    </w:p>
    <w:p>
      <w:pPr>
        <w:spacing w:line="500" w:lineRule="exact"/>
        <w:ind w:firstLine="482" w:firstLineChars="200"/>
        <w:rPr>
          <w:rFonts w:ascii="宋体" w:hAnsi="宋体" w:cs="宋体"/>
          <w:b/>
          <w:color w:val="000000"/>
          <w:kern w:val="0"/>
          <w:sz w:val="24"/>
        </w:rPr>
      </w:pPr>
      <w:bookmarkStart w:id="10" w:name="_Toc449538972"/>
      <w:bookmarkStart w:id="11" w:name="_Toc454289277"/>
      <w:r>
        <w:rPr>
          <w:rFonts w:hint="eastAsia" w:ascii="宋体" w:hAnsi="宋体" w:cs="宋体"/>
          <w:b/>
          <w:color w:val="000000"/>
          <w:sz w:val="24"/>
        </w:rPr>
        <w:t>三、</w:t>
      </w:r>
      <w:r>
        <w:rPr>
          <w:rFonts w:hint="eastAsia" w:ascii="宋体" w:hAnsi="宋体" w:cs="宋体"/>
          <w:b/>
          <w:color w:val="000000"/>
          <w:kern w:val="0"/>
          <w:sz w:val="24"/>
        </w:rPr>
        <w:t>项目预算</w:t>
      </w:r>
    </w:p>
    <w:tbl>
      <w:tblPr>
        <w:tblStyle w:val="7"/>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1578"/>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44" w:type="dxa"/>
          </w:tcPr>
          <w:p>
            <w:pPr>
              <w:spacing w:line="360" w:lineRule="exact"/>
              <w:ind w:firstLine="480" w:firstLineChars="200"/>
              <w:jc w:val="center"/>
              <w:rPr>
                <w:rFonts w:ascii="宋体" w:hAnsi="宋体" w:eastAsia="微软雅黑" w:cs="宋体"/>
                <w:color w:val="000000"/>
                <w:kern w:val="0"/>
                <w:sz w:val="24"/>
              </w:rPr>
            </w:pPr>
            <w:r>
              <w:rPr>
                <w:rFonts w:hint="eastAsia" w:ascii="宋体" w:hAnsi="宋体" w:eastAsia="微软雅黑" w:cs="宋体"/>
                <w:color w:val="000000"/>
                <w:kern w:val="0"/>
                <w:sz w:val="24"/>
              </w:rPr>
              <w:t>学校名称</w:t>
            </w:r>
          </w:p>
        </w:tc>
        <w:tc>
          <w:tcPr>
            <w:tcW w:w="1578" w:type="dxa"/>
          </w:tcPr>
          <w:p>
            <w:pPr>
              <w:spacing w:line="360" w:lineRule="exact"/>
              <w:ind w:firstLine="240" w:firstLineChars="100"/>
              <w:rPr>
                <w:rFonts w:ascii="宋体" w:hAnsi="宋体" w:eastAsia="微软雅黑" w:cs="宋体"/>
                <w:color w:val="000000"/>
                <w:kern w:val="0"/>
                <w:sz w:val="24"/>
              </w:rPr>
            </w:pPr>
            <w:r>
              <w:rPr>
                <w:rFonts w:hint="eastAsia" w:ascii="宋体" w:hAnsi="宋体" w:eastAsia="微软雅黑" w:cs="宋体"/>
                <w:color w:val="000000"/>
                <w:kern w:val="0"/>
                <w:sz w:val="24"/>
              </w:rPr>
              <w:t>预算金额</w:t>
            </w:r>
          </w:p>
        </w:tc>
        <w:tc>
          <w:tcPr>
            <w:tcW w:w="4105" w:type="dxa"/>
          </w:tcPr>
          <w:p>
            <w:pPr>
              <w:spacing w:line="360" w:lineRule="exact"/>
              <w:ind w:firstLine="480" w:firstLineChars="200"/>
              <w:jc w:val="center"/>
              <w:rPr>
                <w:rFonts w:ascii="宋体" w:hAnsi="宋体" w:eastAsia="微软雅黑" w:cs="宋体"/>
                <w:color w:val="000000"/>
                <w:kern w:val="0"/>
                <w:sz w:val="24"/>
              </w:rPr>
            </w:pPr>
            <w:r>
              <w:rPr>
                <w:rFonts w:hint="eastAsia" w:ascii="宋体" w:hAnsi="宋体" w:eastAsia="微软雅黑"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44" w:type="dxa"/>
          </w:tcPr>
          <w:p>
            <w:pPr>
              <w:spacing w:line="360" w:lineRule="exact"/>
              <w:rPr>
                <w:rFonts w:ascii="宋体" w:hAnsi="宋体" w:eastAsia="微软雅黑" w:cs="宋体"/>
                <w:color w:val="000000"/>
                <w:kern w:val="0"/>
                <w:sz w:val="24"/>
              </w:rPr>
            </w:pPr>
            <w:r>
              <w:rPr>
                <w:rFonts w:hint="eastAsia" w:ascii="宋体" w:hAnsi="宋体" w:eastAsia="微软雅黑" w:cs="宋体"/>
                <w:color w:val="000000"/>
                <w:kern w:val="0"/>
                <w:sz w:val="24"/>
              </w:rPr>
              <w:t>成都市温江区和居路幼儿园</w:t>
            </w:r>
          </w:p>
        </w:tc>
        <w:tc>
          <w:tcPr>
            <w:tcW w:w="1578" w:type="dxa"/>
          </w:tcPr>
          <w:p>
            <w:pPr>
              <w:spacing w:line="360" w:lineRule="exact"/>
              <w:ind w:firstLine="480" w:firstLineChars="200"/>
              <w:rPr>
                <w:rFonts w:ascii="宋体" w:hAnsi="宋体" w:eastAsia="微软雅黑" w:cs="宋体"/>
                <w:color w:val="000000"/>
                <w:kern w:val="0"/>
                <w:sz w:val="24"/>
              </w:rPr>
            </w:pPr>
            <w:r>
              <w:rPr>
                <w:rFonts w:ascii="宋体" w:hAnsi="宋体" w:cs="宋体"/>
                <w:color w:val="000000"/>
                <w:kern w:val="0"/>
                <w:sz w:val="24"/>
                <w:lang w:bidi="ar"/>
              </w:rPr>
              <w:t>3</w:t>
            </w:r>
            <w:r>
              <w:rPr>
                <w:rFonts w:hint="eastAsia" w:ascii="宋体" w:hAnsi="宋体" w:cs="宋体"/>
                <w:color w:val="000000"/>
                <w:kern w:val="0"/>
                <w:sz w:val="24"/>
                <w:lang w:val="en-US" w:eastAsia="zh-CN" w:bidi="ar"/>
              </w:rPr>
              <w:t>204</w:t>
            </w:r>
            <w:r>
              <w:rPr>
                <w:rFonts w:ascii="宋体" w:hAnsi="宋体" w:cs="宋体"/>
                <w:color w:val="000000"/>
                <w:kern w:val="0"/>
                <w:sz w:val="24"/>
                <w:lang w:bidi="ar"/>
              </w:rPr>
              <w:t>0</w:t>
            </w:r>
            <w:r>
              <w:rPr>
                <w:rFonts w:hint="eastAsia" w:ascii="宋体" w:hAnsi="宋体" w:eastAsia="微软雅黑" w:cs="宋体"/>
                <w:color w:val="000000"/>
                <w:kern w:val="0"/>
                <w:sz w:val="24"/>
              </w:rPr>
              <w:t>万</w:t>
            </w:r>
          </w:p>
        </w:tc>
        <w:tc>
          <w:tcPr>
            <w:tcW w:w="4105" w:type="dxa"/>
          </w:tcPr>
          <w:p>
            <w:pPr>
              <w:spacing w:line="500" w:lineRule="exact"/>
              <w:ind w:firstLine="480" w:firstLineChars="200"/>
              <w:rPr>
                <w:rFonts w:ascii="宋体" w:hAnsi="宋体" w:eastAsia="微软雅黑" w:cs="宋体"/>
                <w:color w:val="000000"/>
                <w:kern w:val="0"/>
                <w:sz w:val="24"/>
              </w:rPr>
            </w:pPr>
            <w:r>
              <w:rPr>
                <w:rFonts w:hint="eastAsia" w:ascii="宋体" w:hAnsi="宋体" w:eastAsia="微软雅黑" w:cs="宋体"/>
                <w:color w:val="000000"/>
                <w:kern w:val="0"/>
                <w:sz w:val="24"/>
              </w:rPr>
              <w:t>条形桌、会议台、会议凳子等</w:t>
            </w:r>
          </w:p>
        </w:tc>
      </w:tr>
      <w:bookmarkEnd w:id="10"/>
      <w:bookmarkEnd w:id="11"/>
    </w:tbl>
    <w:tbl>
      <w:tblPr>
        <w:tblStyle w:val="6"/>
        <w:tblpPr w:leftFromText="180" w:rightFromText="180" w:vertAnchor="text" w:horzAnchor="page" w:tblpX="1830" w:tblpY="865"/>
        <w:tblOverlap w:val="never"/>
        <w:tblW w:w="5451" w:type="pct"/>
        <w:tblInd w:w="0" w:type="dxa"/>
        <w:tblLayout w:type="fixed"/>
        <w:tblCellMar>
          <w:top w:w="0" w:type="dxa"/>
          <w:left w:w="108" w:type="dxa"/>
          <w:bottom w:w="0" w:type="dxa"/>
          <w:right w:w="108" w:type="dxa"/>
        </w:tblCellMar>
      </w:tblPr>
      <w:tblGrid>
        <w:gridCol w:w="2262"/>
        <w:gridCol w:w="1466"/>
        <w:gridCol w:w="969"/>
        <w:gridCol w:w="4594"/>
      </w:tblGrid>
      <w:tr>
        <w:trPr>
          <w:trHeight w:val="345" w:hRule="atLeast"/>
        </w:trPr>
        <w:tc>
          <w:tcPr>
            <w:tcW w:w="1217" w:type="pct"/>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color w:val="000000"/>
                <w:kern w:val="0"/>
                <w:sz w:val="24"/>
              </w:rPr>
            </w:pPr>
            <w:r>
              <w:rPr>
                <w:rFonts w:hint="eastAsia" w:ascii="宋体" w:hAnsi="宋体" w:cs="宋体"/>
                <w:color w:val="000000"/>
                <w:kern w:val="0"/>
                <w:sz w:val="24"/>
              </w:rPr>
              <w:t>项目名称</w:t>
            </w:r>
          </w:p>
        </w:tc>
        <w:tc>
          <w:tcPr>
            <w:tcW w:w="788" w:type="pct"/>
            <w:tcBorders>
              <w:top w:val="single" w:color="auto" w:sz="4" w:space="0"/>
              <w:left w:val="nil"/>
              <w:bottom w:val="single" w:color="auto" w:sz="4" w:space="0"/>
              <w:right w:val="single" w:color="auto" w:sz="4" w:space="0"/>
            </w:tcBorders>
            <w:noWrap/>
            <w:vAlign w:val="center"/>
          </w:tcPr>
          <w:p>
            <w:pPr>
              <w:widowControl/>
              <w:ind w:firstLine="960" w:firstLineChars="400"/>
              <w:jc w:val="both"/>
              <w:rPr>
                <w:rFonts w:ascii="宋体" w:hAnsi="宋体" w:cs="宋体"/>
                <w:color w:val="000000"/>
                <w:kern w:val="0"/>
                <w:sz w:val="24"/>
              </w:rPr>
            </w:pPr>
            <w:r>
              <w:rPr>
                <w:rFonts w:hint="eastAsia" w:ascii="宋体" w:hAnsi="宋体" w:cs="宋体"/>
                <w:color w:val="000000"/>
                <w:kern w:val="0"/>
                <w:sz w:val="24"/>
              </w:rPr>
              <w:t>规格</w:t>
            </w:r>
          </w:p>
        </w:tc>
        <w:tc>
          <w:tcPr>
            <w:tcW w:w="521" w:type="pct"/>
            <w:tcBorders>
              <w:top w:val="single" w:color="auto" w:sz="4" w:space="0"/>
              <w:left w:val="nil"/>
              <w:bottom w:val="single" w:color="auto" w:sz="4" w:space="0"/>
              <w:right w:val="single" w:color="auto" w:sz="4" w:space="0"/>
            </w:tcBorders>
            <w:noWrap/>
            <w:vAlign w:val="center"/>
          </w:tcPr>
          <w:p>
            <w:pPr>
              <w:widowControl/>
              <w:jc w:val="both"/>
              <w:rPr>
                <w:rFonts w:ascii="宋体" w:hAnsi="宋体" w:cs="宋体"/>
                <w:color w:val="000000"/>
                <w:kern w:val="0"/>
                <w:sz w:val="24"/>
              </w:rPr>
            </w:pPr>
            <w:r>
              <w:rPr>
                <w:rFonts w:hint="eastAsia" w:ascii="宋体" w:hAnsi="宋体" w:cs="宋体"/>
                <w:color w:val="000000"/>
                <w:kern w:val="0"/>
                <w:sz w:val="24"/>
              </w:rPr>
              <w:t>预算金额</w:t>
            </w:r>
          </w:p>
        </w:tc>
        <w:tc>
          <w:tcPr>
            <w:tcW w:w="2472" w:type="pct"/>
            <w:tcBorders>
              <w:top w:val="single" w:color="auto" w:sz="4" w:space="0"/>
              <w:left w:val="nil"/>
              <w:bottom w:val="single" w:color="auto" w:sz="4" w:space="0"/>
              <w:right w:val="single" w:color="auto" w:sz="4" w:space="0"/>
            </w:tcBorders>
            <w:noWrap/>
            <w:vAlign w:val="center"/>
          </w:tcPr>
          <w:p>
            <w:pPr>
              <w:widowControl/>
              <w:ind w:firstLine="480" w:firstLineChars="2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备注</w:t>
            </w:r>
          </w:p>
        </w:tc>
      </w:tr>
      <w:tr>
        <w:tblPrEx>
          <w:tblCellMar>
            <w:top w:w="0" w:type="dxa"/>
            <w:left w:w="108" w:type="dxa"/>
            <w:bottom w:w="0" w:type="dxa"/>
            <w:right w:w="108" w:type="dxa"/>
          </w:tblCellMar>
        </w:tblPrEx>
        <w:trPr>
          <w:trHeight w:val="345" w:hRule="atLeast"/>
        </w:trPr>
        <w:tc>
          <w:tcPr>
            <w:tcW w:w="1217" w:type="pct"/>
            <w:tcBorders>
              <w:top w:val="nil"/>
              <w:left w:val="single" w:color="auto" w:sz="4" w:space="0"/>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r>
              <w:rPr>
                <w:rFonts w:hint="eastAsia" w:ascii="宋体" w:hAnsi="宋体" w:cs="宋体"/>
                <w:color w:val="000000"/>
                <w:kern w:val="0"/>
                <w:sz w:val="24"/>
              </w:rPr>
              <w:t>会议培训移动条桌</w:t>
            </w:r>
          </w:p>
        </w:tc>
        <w:tc>
          <w:tcPr>
            <w:tcW w:w="788" w:type="pct"/>
            <w:vMerge w:val="restart"/>
            <w:tcBorders>
              <w:top w:val="nil"/>
              <w:left w:val="nil"/>
              <w:right w:val="single" w:color="auto" w:sz="4" w:space="0"/>
            </w:tcBorders>
            <w:noWrap/>
            <w:vAlign w:val="center"/>
          </w:tcPr>
          <w:p>
            <w:pPr>
              <w:widowControl/>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详见技术参数及要求</w:t>
            </w:r>
          </w:p>
        </w:tc>
        <w:tc>
          <w:tcPr>
            <w:tcW w:w="521" w:type="pct"/>
            <w:vMerge w:val="restart"/>
            <w:tcBorders>
              <w:top w:val="nil"/>
              <w:left w:val="nil"/>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lang w:bidi="ar"/>
              </w:rPr>
              <w:t>3</w:t>
            </w:r>
            <w:r>
              <w:rPr>
                <w:rFonts w:hint="eastAsia" w:ascii="宋体" w:hAnsi="宋体" w:cs="宋体"/>
                <w:color w:val="000000"/>
                <w:kern w:val="0"/>
                <w:sz w:val="24"/>
                <w:lang w:val="en-US" w:eastAsia="zh-CN" w:bidi="ar"/>
              </w:rPr>
              <w:t>204</w:t>
            </w:r>
            <w:r>
              <w:rPr>
                <w:rFonts w:ascii="宋体" w:hAnsi="宋体" w:cs="宋体"/>
                <w:color w:val="000000"/>
                <w:kern w:val="0"/>
                <w:sz w:val="24"/>
                <w:lang w:bidi="ar"/>
              </w:rPr>
              <w:t>0</w:t>
            </w:r>
          </w:p>
        </w:tc>
        <w:tc>
          <w:tcPr>
            <w:tcW w:w="2472" w:type="pct"/>
            <w:vMerge w:val="restart"/>
            <w:tcBorders>
              <w:top w:val="nil"/>
              <w:left w:val="nil"/>
              <w:right w:val="single" w:color="auto" w:sz="4" w:space="0"/>
            </w:tcBorders>
            <w:noWrap/>
            <w:vAlign w:val="center"/>
          </w:tcPr>
          <w:p>
            <w:pPr>
              <w:widowControl/>
              <w:tabs>
                <w:tab w:val="left" w:pos="1475"/>
              </w:tabs>
              <w:rPr>
                <w:rFonts w:hint="eastAsia" w:ascii="宋体" w:hAnsi="宋体" w:eastAsia="宋体" w:cs="宋体"/>
                <w:color w:val="000000"/>
                <w:kern w:val="0"/>
                <w:sz w:val="24"/>
                <w:lang w:eastAsia="zh-CN" w:bidi="ar"/>
              </w:rPr>
            </w:pPr>
            <w:r>
              <w:rPr>
                <w:rFonts w:hint="eastAsia" w:ascii="宋体" w:hAnsi="宋体" w:eastAsia="宋体" w:cs="宋体"/>
                <w:i w:val="0"/>
                <w:iCs w:val="0"/>
                <w:caps w:val="0"/>
                <w:color w:val="000000"/>
                <w:spacing w:val="0"/>
                <w:sz w:val="18"/>
                <w:szCs w:val="18"/>
                <w:shd w:val="clear" w:color="auto" w:fill="FFFFFF"/>
              </w:rPr>
              <w:t>费</w:t>
            </w:r>
            <w:r>
              <w:rPr>
                <w:rFonts w:hint="eastAsia" w:ascii="宋体" w:hAnsi="宋体" w:eastAsia="宋体" w:cs="宋体"/>
                <w:i w:val="0"/>
                <w:iCs w:val="0"/>
                <w:caps w:val="0"/>
                <w:color w:val="000000"/>
                <w:spacing w:val="0"/>
                <w:sz w:val="16"/>
                <w:szCs w:val="16"/>
                <w:shd w:val="clear" w:color="auto" w:fill="FFFFFF"/>
              </w:rPr>
              <w:t>用含家具运送、安装及质保其内售后所需的材料费。家具质保期为验收合格后1年。质保期内出现质量问题，乙方在接到通知后10分钟内响应2小时内到场，24小时内完成维修或更换，并承担修理调换的费用；如货物经乙方2次维修仍不能达到本合同约定的质量标准，视作乙方未能按时交货，甲方有权退货并追究乙方的违约责任。货到现场经甲方确认货物的品牌规格型号技术参数数量与合同一致且签字盖章后，由于甲方保管不当造成的问题，乙方亦应负责修复，但费用由甲方负担。所购货物在搬运、安装、调试以及提供的售后服务过程中发生的一切安全事故以及给甲方造成的损失均由乙方负责，与甲方无关</w:t>
            </w:r>
            <w:r>
              <w:rPr>
                <w:rFonts w:hint="eastAsia" w:ascii="宋体" w:hAnsi="宋体" w:eastAsia="宋体" w:cs="宋体"/>
                <w:i w:val="0"/>
                <w:iCs w:val="0"/>
                <w:caps w:val="0"/>
                <w:color w:val="000000"/>
                <w:spacing w:val="0"/>
                <w:sz w:val="16"/>
                <w:szCs w:val="16"/>
                <w:shd w:val="clear" w:color="auto" w:fill="FFFFFF"/>
                <w:lang w:eastAsia="zh-CN"/>
              </w:rPr>
              <w:t>。</w:t>
            </w:r>
          </w:p>
        </w:tc>
      </w:tr>
      <w:tr>
        <w:tblPrEx>
          <w:tblCellMar>
            <w:top w:w="0" w:type="dxa"/>
            <w:left w:w="108" w:type="dxa"/>
            <w:bottom w:w="0" w:type="dxa"/>
            <w:right w:w="108" w:type="dxa"/>
          </w:tblCellMar>
        </w:tblPrEx>
        <w:trPr>
          <w:trHeight w:val="345" w:hRule="atLeast"/>
        </w:trPr>
        <w:tc>
          <w:tcPr>
            <w:tcW w:w="1217" w:type="pct"/>
            <w:tcBorders>
              <w:top w:val="nil"/>
              <w:left w:val="single" w:color="auto" w:sz="4" w:space="0"/>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r>
              <w:rPr>
                <w:rFonts w:hint="eastAsia" w:ascii="宋体" w:hAnsi="宋体" w:cs="宋体"/>
                <w:color w:val="000000"/>
                <w:kern w:val="0"/>
                <w:sz w:val="24"/>
              </w:rPr>
              <w:t>会议椅子</w:t>
            </w:r>
          </w:p>
        </w:tc>
        <w:tc>
          <w:tcPr>
            <w:tcW w:w="788" w:type="pct"/>
            <w:vMerge w:val="continue"/>
            <w:tcBorders>
              <w:left w:val="nil"/>
              <w:right w:val="single" w:color="auto" w:sz="4" w:space="0"/>
            </w:tcBorders>
            <w:noWrap/>
            <w:vAlign w:val="center"/>
          </w:tcPr>
          <w:p>
            <w:pPr>
              <w:widowControl/>
              <w:ind w:firstLine="480" w:firstLineChars="200"/>
              <w:rPr>
                <w:rFonts w:ascii="宋体" w:hAnsi="宋体" w:cs="宋体"/>
                <w:color w:val="000000"/>
                <w:kern w:val="0"/>
                <w:sz w:val="24"/>
              </w:rPr>
            </w:pPr>
          </w:p>
        </w:tc>
        <w:tc>
          <w:tcPr>
            <w:tcW w:w="521" w:type="pct"/>
            <w:vMerge w:val="continue"/>
            <w:tcBorders>
              <w:left w:val="nil"/>
              <w:right w:val="single" w:color="auto" w:sz="4" w:space="0"/>
            </w:tcBorders>
            <w:noWrap/>
            <w:vAlign w:val="center"/>
          </w:tcPr>
          <w:p>
            <w:pPr>
              <w:widowControl/>
              <w:ind w:firstLine="480" w:firstLineChars="200"/>
              <w:rPr>
                <w:rFonts w:hint="default" w:ascii="宋体" w:hAnsi="宋体" w:eastAsia="宋体" w:cs="宋体"/>
                <w:color w:val="000000"/>
                <w:kern w:val="0"/>
                <w:sz w:val="24"/>
                <w:lang w:val="en-US" w:eastAsia="zh-CN"/>
              </w:rPr>
            </w:pPr>
          </w:p>
        </w:tc>
        <w:tc>
          <w:tcPr>
            <w:tcW w:w="2472" w:type="pct"/>
            <w:vMerge w:val="continue"/>
            <w:tcBorders>
              <w:left w:val="nil"/>
              <w:right w:val="single" w:color="auto" w:sz="4" w:space="0"/>
            </w:tcBorders>
            <w:noWrap/>
            <w:vAlign w:val="center"/>
          </w:tcPr>
          <w:p>
            <w:pPr>
              <w:widowControl/>
              <w:ind w:firstLine="480" w:firstLineChars="200"/>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trHeight w:val="345" w:hRule="atLeast"/>
        </w:trPr>
        <w:tc>
          <w:tcPr>
            <w:tcW w:w="1217" w:type="pct"/>
            <w:tcBorders>
              <w:top w:val="nil"/>
              <w:left w:val="single" w:color="auto" w:sz="4" w:space="0"/>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r>
              <w:rPr>
                <w:rFonts w:hint="eastAsia" w:ascii="宋体" w:hAnsi="宋体" w:cs="宋体"/>
                <w:color w:val="000000"/>
                <w:kern w:val="0"/>
                <w:sz w:val="24"/>
              </w:rPr>
              <w:t>演讲台</w:t>
            </w:r>
          </w:p>
        </w:tc>
        <w:tc>
          <w:tcPr>
            <w:tcW w:w="788" w:type="pct"/>
            <w:vMerge w:val="continue"/>
            <w:tcBorders>
              <w:left w:val="nil"/>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p>
        </w:tc>
        <w:tc>
          <w:tcPr>
            <w:tcW w:w="521" w:type="pct"/>
            <w:vMerge w:val="continue"/>
            <w:tcBorders>
              <w:left w:val="nil"/>
              <w:right w:val="single" w:color="auto" w:sz="4" w:space="0"/>
            </w:tcBorders>
            <w:noWrap/>
            <w:vAlign w:val="center"/>
          </w:tcPr>
          <w:p>
            <w:pPr>
              <w:widowControl/>
              <w:ind w:firstLine="480" w:firstLineChars="200"/>
              <w:rPr>
                <w:rFonts w:ascii="宋体" w:hAnsi="宋体" w:cs="宋体"/>
                <w:color w:val="000000"/>
                <w:kern w:val="0"/>
                <w:sz w:val="24"/>
              </w:rPr>
            </w:pPr>
          </w:p>
        </w:tc>
        <w:tc>
          <w:tcPr>
            <w:tcW w:w="2472" w:type="pct"/>
            <w:vMerge w:val="continue"/>
            <w:tcBorders>
              <w:left w:val="nil"/>
              <w:right w:val="single" w:color="auto" w:sz="4" w:space="0"/>
            </w:tcBorders>
            <w:noWrap/>
            <w:vAlign w:val="center"/>
          </w:tcPr>
          <w:p>
            <w:pPr>
              <w:widowControl/>
              <w:ind w:firstLine="480" w:firstLineChars="200"/>
              <w:rPr>
                <w:rFonts w:ascii="宋体" w:hAnsi="宋体" w:cs="宋体"/>
                <w:color w:val="000000"/>
                <w:kern w:val="0"/>
                <w:sz w:val="24"/>
              </w:rPr>
            </w:pPr>
          </w:p>
        </w:tc>
      </w:tr>
      <w:tr>
        <w:tblPrEx>
          <w:tblCellMar>
            <w:top w:w="0" w:type="dxa"/>
            <w:left w:w="108" w:type="dxa"/>
            <w:bottom w:w="0" w:type="dxa"/>
            <w:right w:w="108" w:type="dxa"/>
          </w:tblCellMar>
        </w:tblPrEx>
        <w:trPr>
          <w:trHeight w:val="366" w:hRule="atLeast"/>
        </w:trPr>
        <w:tc>
          <w:tcPr>
            <w:tcW w:w="1217" w:type="pct"/>
            <w:tcBorders>
              <w:top w:val="nil"/>
              <w:left w:val="single" w:color="auto" w:sz="4" w:space="0"/>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r>
              <w:rPr>
                <w:rFonts w:hint="eastAsia" w:ascii="宋体" w:hAnsi="宋体" w:cs="宋体"/>
                <w:color w:val="000000"/>
                <w:kern w:val="0"/>
                <w:sz w:val="24"/>
              </w:rPr>
              <w:t>合计</w:t>
            </w:r>
          </w:p>
        </w:tc>
        <w:tc>
          <w:tcPr>
            <w:tcW w:w="788" w:type="pct"/>
            <w:tcBorders>
              <w:top w:val="nil"/>
              <w:left w:val="nil"/>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p>
        </w:tc>
        <w:tc>
          <w:tcPr>
            <w:tcW w:w="521" w:type="pct"/>
            <w:vMerge w:val="continue"/>
            <w:tcBorders>
              <w:left w:val="nil"/>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p>
        </w:tc>
        <w:tc>
          <w:tcPr>
            <w:tcW w:w="2472" w:type="pct"/>
            <w:vMerge w:val="continue"/>
            <w:tcBorders>
              <w:left w:val="nil"/>
              <w:bottom w:val="single" w:color="auto" w:sz="4" w:space="0"/>
              <w:right w:val="single" w:color="auto" w:sz="4" w:space="0"/>
            </w:tcBorders>
            <w:noWrap/>
            <w:vAlign w:val="center"/>
          </w:tcPr>
          <w:p>
            <w:pPr>
              <w:widowControl/>
              <w:ind w:firstLine="480" w:firstLineChars="200"/>
              <w:rPr>
                <w:rFonts w:ascii="宋体" w:hAnsi="宋体" w:cs="宋体"/>
                <w:color w:val="000000"/>
                <w:kern w:val="0"/>
                <w:sz w:val="24"/>
              </w:rPr>
            </w:pPr>
          </w:p>
        </w:tc>
      </w:tr>
    </w:tbl>
    <w:p>
      <w:pPr>
        <w:widowControl/>
        <w:ind w:firstLine="482" w:firstLineChars="200"/>
        <w:rPr>
          <w:rFonts w:ascii="宋体" w:hAnsi="宋体" w:cs="宋体"/>
          <w:b/>
          <w:color w:val="000000"/>
          <w:kern w:val="0"/>
          <w:sz w:val="24"/>
        </w:rPr>
      </w:pPr>
      <w:r>
        <w:rPr>
          <w:rFonts w:hint="eastAsia" w:ascii="宋体" w:hAnsi="宋体" w:cs="宋体"/>
          <w:b/>
          <w:color w:val="000000"/>
          <w:kern w:val="0"/>
          <w:sz w:val="24"/>
        </w:rPr>
        <w:t>四、项目需求：</w:t>
      </w:r>
    </w:p>
    <w:p>
      <w:pPr>
        <w:widowControl/>
        <w:rPr>
          <w:rFonts w:ascii="宋体" w:hAnsi="宋体" w:cs="宋体"/>
          <w:b/>
          <w:color w:val="000000"/>
          <w:kern w:val="0"/>
          <w:sz w:val="24"/>
        </w:rPr>
      </w:pPr>
    </w:p>
    <w:p>
      <w:pPr>
        <w:widowControl/>
        <w:ind w:firstLine="480" w:firstLineChars="200"/>
        <w:rPr>
          <w:rFonts w:hint="eastAsia" w:ascii="宋体" w:hAnsi="宋体" w:cs="宋体"/>
          <w:color w:val="000000"/>
          <w:kern w:val="0"/>
          <w:sz w:val="24"/>
        </w:rPr>
      </w:pPr>
    </w:p>
    <w:p>
      <w:pPr>
        <w:widowControl/>
        <w:ind w:firstLine="480" w:firstLineChars="200"/>
        <w:rPr>
          <w:rFonts w:ascii="宋体" w:hAnsi="宋体" w:cs="宋体"/>
          <w:color w:val="000000"/>
          <w:kern w:val="0"/>
          <w:sz w:val="24"/>
        </w:rPr>
      </w:pPr>
      <w:bookmarkStart w:id="12" w:name="_GoBack"/>
      <w:bookmarkEnd w:id="12"/>
      <w:r>
        <w:rPr>
          <w:rFonts w:hint="eastAsia" w:ascii="宋体" w:hAnsi="宋体" w:cs="宋体"/>
          <w:color w:val="000000"/>
          <w:kern w:val="0"/>
          <w:sz w:val="24"/>
        </w:rPr>
        <w:t>* 会议条桌：按照功能是面积和幼儿园全园教职工人数计算，选择比较好收纳的桌子。</w:t>
      </w:r>
    </w:p>
    <w:p>
      <w:pPr>
        <w:widowControl/>
        <w:ind w:firstLine="480" w:firstLineChars="200"/>
        <w:rPr>
          <w:rFonts w:ascii="宋体" w:hAnsi="宋体" w:cs="宋体"/>
          <w:color w:val="000000"/>
          <w:kern w:val="0"/>
          <w:sz w:val="24"/>
        </w:rPr>
      </w:pPr>
      <w:r>
        <w:rPr>
          <w:rFonts w:hint="eastAsia" w:ascii="宋体" w:hAnsi="宋体" w:cs="宋体"/>
          <w:color w:val="000000"/>
          <w:kern w:val="0"/>
          <w:sz w:val="24"/>
        </w:rPr>
        <w:t>* 会议椅子：按照功能室面积和空间摆放相应会议人数的椅子</w:t>
      </w:r>
    </w:p>
    <w:p>
      <w:pPr>
        <w:pStyle w:val="2"/>
        <w:rPr>
          <w:rFonts w:ascii="宋体" w:hAnsi="宋体" w:cs="宋体"/>
          <w:color w:val="000000"/>
          <w:kern w:val="0"/>
          <w:sz w:val="24"/>
        </w:rPr>
      </w:pPr>
    </w:p>
    <w:p>
      <w:pPr>
        <w:pStyle w:val="2"/>
        <w:numPr>
          <w:ilvl w:val="0"/>
          <w:numId w:val="2"/>
        </w:numPr>
        <w:rPr>
          <w:rFonts w:ascii="宋体" w:hAnsi="宋体" w:cs="宋体"/>
          <w:b/>
          <w:color w:val="000000"/>
          <w:kern w:val="0"/>
          <w:sz w:val="24"/>
        </w:rPr>
      </w:pPr>
      <w:r>
        <w:rPr>
          <w:rFonts w:hint="eastAsia" w:ascii="宋体" w:hAnsi="宋体" w:cs="宋体"/>
          <w:b/>
          <w:color w:val="000000"/>
          <w:kern w:val="0"/>
          <w:sz w:val="24"/>
        </w:rPr>
        <w:t>技术参数及要求</w:t>
      </w:r>
    </w:p>
    <w:p>
      <w:pPr>
        <w:widowControl/>
        <w:ind w:firstLine="482" w:firstLineChars="200"/>
        <w:rPr>
          <w:rFonts w:ascii="宋体" w:hAnsi="宋体" w:cs="宋体"/>
          <w:b/>
          <w:color w:val="000000"/>
          <w:kern w:val="0"/>
          <w:sz w:val="24"/>
        </w:rPr>
      </w:pPr>
    </w:p>
    <w:p>
      <w:pPr>
        <w:spacing w:line="360" w:lineRule="auto"/>
        <w:jc w:val="left"/>
        <w:rPr>
          <w:rFonts w:ascii="宋体" w:hAnsi="宋体" w:cs="宋体"/>
          <w:b/>
          <w:sz w:val="24"/>
        </w:rPr>
      </w:pPr>
    </w:p>
    <w:tbl>
      <w:tblPr>
        <w:tblStyle w:val="6"/>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920"/>
        <w:gridCol w:w="1656"/>
        <w:gridCol w:w="2108"/>
        <w:gridCol w:w="2873"/>
        <w:gridCol w:w="748"/>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6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11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图片</w:t>
            </w:r>
          </w:p>
        </w:tc>
        <w:tc>
          <w:tcPr>
            <w:tcW w:w="32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8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1200*400*750</w:t>
            </w:r>
          </w:p>
        </w:tc>
        <w:tc>
          <w:tcPr>
            <w:tcW w:w="2115"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085850" cy="1085850"/>
                  <wp:effectExtent l="0" t="0" r="0" b="0"/>
                  <wp:docPr id="4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descr="IMG_256"/>
                          <pic:cNvPicPr>
                            <a:picLocks noChangeAspect="1"/>
                          </pic:cNvPicPr>
                        </pic:nvPicPr>
                        <pic:blipFill>
                          <a:blip r:embed="rId5"/>
                          <a:stretch>
                            <a:fillRect/>
                          </a:stretch>
                        </pic:blipFill>
                        <pic:spPr>
                          <a:xfrm>
                            <a:off x="0" y="0"/>
                            <a:ext cx="1085850" cy="1085850"/>
                          </a:xfrm>
                          <a:prstGeom prst="rect">
                            <a:avLst/>
                          </a:prstGeom>
                          <a:noFill/>
                          <a:ln w="9525">
                            <a:noFill/>
                          </a:ln>
                        </pic:spPr>
                      </pic:pic>
                    </a:graphicData>
                  </a:graphic>
                </wp:inline>
              </w:drawing>
            </w:r>
          </w:p>
        </w:tc>
        <w:tc>
          <w:tcPr>
            <w:tcW w:w="3210"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基材为优质E1级高密度25mm颗粒板，面板采用优质热固性树脂浸渍纸高压饰面防火板，甲醛释放量≤0.3mg/L，经防腐、防虫环保处理，优质PVC封边，电镀钢脚架，优质五金配件，桌面可折叠，四周倒R角。</w:t>
            </w:r>
          </w:p>
        </w:tc>
        <w:tc>
          <w:tcPr>
            <w:tcW w:w="81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single" w:color="000000" w:sz="8"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single" w:color="000000" w:sz="8"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single" w:color="000000" w:sz="8"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single" w:color="000000" w:sz="8"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single" w:color="000000" w:sz="8"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single" w:color="000000" w:sz="8"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430*470*780</w:t>
            </w:r>
          </w:p>
        </w:tc>
        <w:tc>
          <w:tcPr>
            <w:tcW w:w="211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133475" cy="1485900"/>
                  <wp:effectExtent l="0" t="0" r="9525" b="0"/>
                  <wp:docPr id="4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descr="IMG_257"/>
                          <pic:cNvPicPr>
                            <a:picLocks noChangeAspect="1"/>
                          </pic:cNvPicPr>
                        </pic:nvPicPr>
                        <pic:blipFill>
                          <a:blip r:embed="rId6"/>
                          <a:stretch>
                            <a:fillRect/>
                          </a:stretch>
                        </pic:blipFill>
                        <pic:spPr>
                          <a:xfrm>
                            <a:off x="0" y="0"/>
                            <a:ext cx="1133475" cy="1485900"/>
                          </a:xfrm>
                          <a:prstGeom prst="rect">
                            <a:avLst/>
                          </a:prstGeom>
                          <a:noFill/>
                          <a:ln w="9525">
                            <a:noFill/>
                          </a:ln>
                        </pic:spPr>
                      </pic:pic>
                    </a:graphicData>
                  </a:graphic>
                </wp:inline>
              </w:drawing>
            </w:r>
          </w:p>
        </w:tc>
        <w:tc>
          <w:tcPr>
            <w:tcW w:w="3210"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1、全新PP料白色背框座垫； </w:t>
            </w:r>
            <w:r>
              <w:rPr>
                <w:rStyle w:val="16"/>
                <w:lang w:val="en-US" w:eastAsia="zh-CN" w:bidi="ar"/>
              </w:rPr>
              <w:t xml:space="preserve">                                   2、1.0mm白色喷塑钢架；                               3、可折叠收放；                                          </w:t>
            </w:r>
          </w:p>
        </w:tc>
        <w:tc>
          <w:tcPr>
            <w:tcW w:w="81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390*380*810</w:t>
            </w:r>
          </w:p>
        </w:tc>
        <w:tc>
          <w:tcPr>
            <w:tcW w:w="21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171575" cy="990600"/>
                  <wp:effectExtent l="0" t="0" r="9525" b="0"/>
                  <wp:docPr id="4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descr="IMG_258"/>
                          <pic:cNvPicPr>
                            <a:picLocks noChangeAspect="1"/>
                          </pic:cNvPicPr>
                        </pic:nvPicPr>
                        <pic:blipFill>
                          <a:blip r:embed="rId7"/>
                          <a:stretch>
                            <a:fillRect/>
                          </a:stretch>
                        </pic:blipFill>
                        <pic:spPr>
                          <a:xfrm>
                            <a:off x="0" y="0"/>
                            <a:ext cx="1171575" cy="990600"/>
                          </a:xfrm>
                          <a:prstGeom prst="rect">
                            <a:avLst/>
                          </a:prstGeom>
                          <a:noFill/>
                          <a:ln w="9525">
                            <a:noFill/>
                          </a:ln>
                        </pic:spPr>
                      </pic:pic>
                    </a:graphicData>
                  </a:graphic>
                </wp:inline>
              </w:drawing>
            </w:r>
          </w:p>
        </w:tc>
        <w:tc>
          <w:tcPr>
            <w:tcW w:w="32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椅身一体成型注塑PP尼龙塑料背筐,实木脚</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演讲台</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1100mm高；台面600mm*450mm</w:t>
            </w:r>
          </w:p>
        </w:tc>
        <w:tc>
          <w:tcPr>
            <w:tcW w:w="21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81075" cy="981075"/>
                  <wp:effectExtent l="0" t="0" r="9525" b="9525"/>
                  <wp:docPr id="4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 descr="IMG_259"/>
                          <pic:cNvPicPr>
                            <a:picLocks noChangeAspect="1"/>
                          </pic:cNvPicPr>
                        </pic:nvPicPr>
                        <pic:blipFill>
                          <a:blip r:embed="rId8"/>
                          <a:stretch>
                            <a:fillRect/>
                          </a:stretch>
                        </pic:blipFill>
                        <pic:spPr>
                          <a:xfrm>
                            <a:off x="0" y="0"/>
                            <a:ext cx="981075" cy="981075"/>
                          </a:xfrm>
                          <a:prstGeom prst="rect">
                            <a:avLst/>
                          </a:prstGeom>
                          <a:noFill/>
                          <a:ln w="9525">
                            <a:noFill/>
                          </a:ln>
                        </pic:spPr>
                      </pic:pic>
                    </a:graphicData>
                  </a:graphic>
                </wp:inline>
              </w:drawing>
            </w:r>
          </w:p>
        </w:tc>
        <w:tc>
          <w:tcPr>
            <w:tcW w:w="32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材质：基材16mm中纤板，面材为烤漆工艺；颜色：白色；表面漆膜平整光亮、无皱皮、发粘和漏漆现象；</w:t>
            </w:r>
          </w:p>
        </w:tc>
        <w:tc>
          <w:tcPr>
            <w:tcW w:w="81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15"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21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32040</w:t>
            </w:r>
          </w:p>
        </w:tc>
      </w:tr>
    </w:tbl>
    <w:p>
      <w:pPr>
        <w:pStyle w:val="2"/>
        <w:rPr>
          <w:rFonts w:ascii="宋体" w:hAnsi="宋体" w:cs="宋体"/>
          <w:sz w:val="24"/>
        </w:rPr>
      </w:pPr>
    </w:p>
    <w:p>
      <w:pPr>
        <w:spacing w:line="360" w:lineRule="auto"/>
        <w:jc w:val="left"/>
        <w:rPr>
          <w:rFonts w:ascii="宋体" w:hAnsi="宋体" w:cs="宋体"/>
          <w:b/>
          <w:sz w:val="24"/>
        </w:rPr>
      </w:pPr>
      <w:r>
        <w:rPr>
          <w:rFonts w:hint="eastAsia" w:ascii="宋体" w:hAnsi="宋体" w:cs="宋体"/>
          <w:b/>
          <w:sz w:val="24"/>
        </w:rPr>
        <w:t>（二）配置要求</w:t>
      </w:r>
    </w:p>
    <w:p>
      <w:pPr>
        <w:pStyle w:val="15"/>
        <w:spacing w:line="360" w:lineRule="auto"/>
        <w:ind w:firstLine="482" w:firstLineChars="200"/>
        <w:rPr>
          <w:rFonts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根据和居路幼儿园的规模、装修风格、配套设备、办园理念、培养目标以及首学期办公用品数量满足以下几项基本原则：</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1.功能是必须品优先配置</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因为金额有限，考虑优先配置会议接待必须品，比如：桌子、椅子及演讲台等。</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2.保证品质价优</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幼儿园用的每一个产品保证有相关质检报告，价格在市面上有一定优势，售后服务能得到保证的产品。</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3.满足多功能室的使用多样性、共通性原则</w:t>
      </w:r>
    </w:p>
    <w:p>
      <w:pPr>
        <w:pStyle w:val="15"/>
        <w:spacing w:line="360" w:lineRule="auto"/>
        <w:ind w:firstLine="480" w:firstLineChars="200"/>
        <w:rPr>
          <w:rFonts w:ascii="宋体" w:hAnsi="宋体" w:cs="宋体"/>
          <w:b/>
          <w:sz w:val="24"/>
          <w:szCs w:val="24"/>
        </w:rPr>
      </w:pPr>
      <w:r>
        <w:rPr>
          <w:rFonts w:hint="eastAsia" w:ascii="宋体" w:hAnsi="宋体" w:cs="宋体"/>
          <w:sz w:val="24"/>
          <w:szCs w:val="24"/>
        </w:rPr>
        <w:t>幼儿园多功能室既是会议接待的场地，同时也是幼儿园幼儿游戏活动的场地配置应具备丰富多样性，空间利用共通性原则 比如：平时多能室多为幼儿活动的表演或者游戏场地，桌椅要易用收纳存放。</w:t>
      </w:r>
    </w:p>
    <w:p>
      <w:pPr>
        <w:numPr>
          <w:ilvl w:val="0"/>
          <w:numId w:val="3"/>
        </w:numPr>
        <w:spacing w:line="360" w:lineRule="auto"/>
        <w:jc w:val="left"/>
        <w:rPr>
          <w:rFonts w:ascii="宋体" w:hAnsi="宋体" w:cs="宋体"/>
          <w:b/>
          <w:sz w:val="24"/>
        </w:rPr>
      </w:pPr>
      <w:r>
        <w:rPr>
          <w:rFonts w:hint="eastAsia" w:ascii="宋体" w:hAnsi="宋体" w:cs="宋体"/>
          <w:b/>
          <w:sz w:val="24"/>
        </w:rPr>
        <w:t>选购方式</w:t>
      </w:r>
    </w:p>
    <w:p>
      <w:pPr>
        <w:numPr>
          <w:ilvl w:val="0"/>
          <w:numId w:val="4"/>
        </w:numPr>
        <w:spacing w:line="360" w:lineRule="auto"/>
        <w:ind w:firstLine="480" w:firstLineChars="200"/>
        <w:jc w:val="left"/>
        <w:rPr>
          <w:rFonts w:ascii="宋体" w:hAnsi="宋体" w:cs="宋体"/>
          <w:sz w:val="24"/>
        </w:rPr>
      </w:pPr>
      <w:r>
        <w:rPr>
          <w:rFonts w:hint="eastAsia" w:ascii="宋体" w:hAnsi="宋体" w:cs="宋体"/>
          <w:sz w:val="24"/>
        </w:rPr>
        <w:t>提供的货品因整合幼儿园环境资源,挖据使用最大价值,丰富课程相关内容。</w:t>
      </w:r>
    </w:p>
    <w:p>
      <w:pPr>
        <w:numPr>
          <w:ilvl w:val="0"/>
          <w:numId w:val="4"/>
        </w:numPr>
        <w:spacing w:line="360" w:lineRule="auto"/>
        <w:ind w:firstLine="480" w:firstLineChars="200"/>
        <w:jc w:val="left"/>
        <w:rPr>
          <w:rFonts w:ascii="宋体" w:hAnsi="宋体" w:cs="宋体"/>
          <w:sz w:val="24"/>
        </w:rPr>
      </w:pPr>
      <w:r>
        <w:rPr>
          <w:rFonts w:hint="eastAsia" w:ascii="宋体" w:hAnsi="宋体" w:cs="宋体"/>
          <w:sz w:val="24"/>
        </w:rPr>
        <w:t>能满足幼儿园整体环境,提升幼儿园品质,扩大幼儿园影响力,增进家园互动,助力家园共育。</w:t>
      </w:r>
    </w:p>
    <w:p>
      <w:pPr>
        <w:spacing w:line="360" w:lineRule="auto"/>
        <w:ind w:firstLine="480" w:firstLineChars="200"/>
        <w:jc w:val="left"/>
        <w:rPr>
          <w:rFonts w:ascii="宋体" w:hAnsi="宋体" w:cs="宋体"/>
          <w:sz w:val="24"/>
        </w:rPr>
      </w:pPr>
      <w:r>
        <w:rPr>
          <w:rFonts w:hint="eastAsia" w:ascii="宋体" w:hAnsi="宋体" w:cs="宋体"/>
          <w:sz w:val="24"/>
        </w:rPr>
        <w:t>3.需满足的国家相关标准、行业标准、地方标准或者其他标准、规范。</w:t>
      </w:r>
    </w:p>
    <w:p>
      <w:pPr>
        <w:numPr>
          <w:ilvl w:val="0"/>
          <w:numId w:val="3"/>
        </w:numPr>
        <w:spacing w:line="360" w:lineRule="auto"/>
        <w:jc w:val="left"/>
        <w:rPr>
          <w:rFonts w:ascii="宋体" w:hAnsi="宋体" w:cs="宋体"/>
          <w:b/>
          <w:sz w:val="24"/>
        </w:rPr>
      </w:pPr>
      <w:r>
        <w:rPr>
          <w:rFonts w:hint="eastAsia" w:ascii="宋体" w:hAnsi="宋体" w:cs="宋体"/>
          <w:b/>
          <w:sz w:val="24"/>
        </w:rPr>
        <w:t>家具要求</w:t>
      </w:r>
    </w:p>
    <w:p>
      <w:pPr>
        <w:spacing w:line="360" w:lineRule="auto"/>
        <w:ind w:firstLine="480" w:firstLineChars="200"/>
        <w:jc w:val="left"/>
        <w:rPr>
          <w:rFonts w:ascii="宋体" w:hAnsi="宋体" w:cs="宋体"/>
          <w:b/>
          <w:sz w:val="24"/>
        </w:rPr>
      </w:pPr>
      <w:r>
        <w:rPr>
          <w:rFonts w:hint="eastAsia" w:ascii="宋体" w:hAnsi="宋体" w:cs="宋体"/>
          <w:sz w:val="24"/>
        </w:rPr>
        <w:t>所供货物应保证是全新、未使用过的原装合格正品,并完全符合合同规定的规格和性能的要求。供货方应保证其提供的货物在正确安装、正常使用和保养条件下,在其使用考命内具有供货方提供的货的技术规格应与招标文件规定的技术规格相一致;若技术性能无特殊说明,则按国家有关部门最新颁布的标准及规范为准。</w:t>
      </w:r>
    </w:p>
    <w:p>
      <w:pPr>
        <w:spacing w:line="360" w:lineRule="auto"/>
        <w:jc w:val="left"/>
        <w:rPr>
          <w:rFonts w:ascii="宋体" w:hAnsi="宋体" w:cs="宋体"/>
          <w:b/>
          <w:sz w:val="24"/>
        </w:rPr>
      </w:pPr>
      <w:r>
        <w:rPr>
          <w:rFonts w:hint="eastAsia" w:ascii="宋体" w:hAnsi="宋体" w:cs="宋体"/>
          <w:b/>
          <w:sz w:val="24"/>
        </w:rPr>
        <w:t>六、履约要求</w:t>
      </w:r>
    </w:p>
    <w:p>
      <w:pPr>
        <w:spacing w:line="360" w:lineRule="auto"/>
        <w:ind w:firstLine="240" w:firstLineChars="100"/>
        <w:jc w:val="left"/>
        <w:rPr>
          <w:rFonts w:ascii="宋体" w:hAnsi="宋体" w:cs="宋体"/>
          <w:kern w:val="44"/>
          <w:sz w:val="24"/>
        </w:rPr>
      </w:pPr>
      <w:r>
        <w:rPr>
          <w:rFonts w:hint="eastAsia" w:ascii="宋体" w:hAnsi="宋体" w:cs="宋体"/>
          <w:kern w:val="44"/>
          <w:sz w:val="24"/>
        </w:rPr>
        <w:t>（一）甲方名称：成都市温江区和居路幼儿园</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地址：温江区永宁街道芙蓉水居7号附1号</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（二）交货时间、地点及方式：</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签订合同 40 日内按甲方指定的方式送到甲方指定地址。交付时附详细书目和指定收货学校的签收单，并按照收货学校或甲方要求做好包装、搬运、安装、调试等工作，达到收货学校正常使用状态。</w:t>
      </w:r>
    </w:p>
    <w:p>
      <w:pPr>
        <w:numPr>
          <w:ilvl w:val="0"/>
          <w:numId w:val="5"/>
        </w:numPr>
        <w:spacing w:line="360" w:lineRule="auto"/>
        <w:ind w:firstLine="480" w:firstLineChars="200"/>
        <w:jc w:val="left"/>
        <w:rPr>
          <w:rFonts w:ascii="宋体" w:hAnsi="宋体" w:cs="宋体"/>
          <w:kern w:val="44"/>
          <w:sz w:val="24"/>
        </w:rPr>
      </w:pPr>
      <w:r>
        <w:rPr>
          <w:rFonts w:hint="eastAsia" w:ascii="宋体" w:hAnsi="宋体" w:cs="宋体"/>
          <w:kern w:val="44"/>
          <w:sz w:val="24"/>
        </w:rPr>
        <w:t>收货及验收：</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1.该项目总价款是包括所有设备的供货（包括货物附件及零配件、辅料、专用工具）原材料、设计生产、备品备件、包装、搬运、保险、保管、安装调试、验收、培训、保修、管理费、售后服务、利润、税金等所有费用，乙方的投标报价是所有货物在使用现场安装调试完毕经验收合格后交货的固定不变价格。</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2.项目工程质保期为验收合格后三年，质保期内出现质量问题，乙方在接到通知后20分钟内响应3小时内到场，24小时内完成维修或更换，并承担修理调换的费用；如货物经乙方2次维修仍不能达到本合同约定的质量标准，甲方有权退货并追究乙方的违约责任。</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3.货到现场经甲方确认货物的品牌规格型号技术参数数量与合同一致且签字盖章后，由于甲方保管不当造成的问题，乙方亦应负责修复，但费用由甲方负担。所购货物在搬运、安装、调试以及提供的售后服务过程中发生的一切安全事故以及给甲方造成的损失均由乙方负责，与甲方无关。</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4.实施完毕，供货商对使用方进行操作培训，使用后未发现任何问题，经申请，按照《四川省政府采购项目需求论证和履约验收管理办法》（川财采[2015]32 号）进行最终验收。</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（四）售后服务的要求:</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1．质保期为三年，验收合格后质保期内供货商免费提供正常使用情况下的维修及保养服务。</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2．在质保期内出现质量问题，供货方在接到通知后 3 小时内响应到场，24 小时内完成维修或更换，维修或更换费用由供货方承担。</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（五）合同价款支付方式和条件：</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1.付款方式：银行转帐支付</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2.支付办法：签订合同前交纳 5%的履约保证金，签订合同后全部货物签收并</w:t>
      </w:r>
      <w:r>
        <w:rPr>
          <w:rFonts w:hint="eastAsia" w:ascii="宋体" w:hAnsi="宋体" w:cs="宋体"/>
          <w:sz w:val="24"/>
        </w:rPr>
        <w:t>验收合格后，一次性支付合同款。</w:t>
      </w:r>
      <w:r>
        <w:rPr>
          <w:rFonts w:hint="eastAsia" w:ascii="宋体" w:hAnsi="宋体" w:cs="宋体"/>
          <w:kern w:val="44"/>
          <w:sz w:val="24"/>
        </w:rPr>
        <w:t>验收合格之日起，履约保证金自动转换为质量保证金，质保期满后无质量问题，7日内予以退还（无息）。</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（六）伴随服务：终身提供管理指导</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（七）违约责任：按合同约定.</w:t>
      </w:r>
    </w:p>
    <w:p>
      <w:pPr>
        <w:spacing w:line="360" w:lineRule="auto"/>
        <w:ind w:firstLine="480" w:firstLineChars="200"/>
        <w:jc w:val="left"/>
        <w:rPr>
          <w:rFonts w:ascii="宋体" w:hAnsi="宋体" w:cs="宋体"/>
          <w:kern w:val="44"/>
          <w:sz w:val="24"/>
        </w:rPr>
      </w:pPr>
      <w:r>
        <w:rPr>
          <w:rFonts w:hint="eastAsia" w:ascii="宋体" w:hAnsi="宋体" w:cs="宋体"/>
          <w:kern w:val="44"/>
          <w:sz w:val="24"/>
        </w:rPr>
        <w:t>（八）其他要求：所购货物以及提供的售后服务过程中发生的一切安全事故以及给甲方（或使用方）造成的损失均由乙方负责，与甲方（或使用方）无关。</w:t>
      </w:r>
    </w:p>
    <w:p>
      <w:pPr>
        <w:rPr>
          <w:rFonts w:ascii="宋体" w:hAnsi="宋体" w:cs="宋体"/>
          <w:color w:val="000000"/>
          <w:sz w:val="24"/>
        </w:rPr>
      </w:pPr>
    </w:p>
    <w:p>
      <w:pPr>
        <w:pStyle w:val="2"/>
        <w:rPr>
          <w:rFonts w:ascii="宋体" w:hAnsi="宋体" w:cs="宋体"/>
          <w:color w:val="000000"/>
          <w:sz w:val="24"/>
        </w:rPr>
      </w:pPr>
    </w:p>
    <w:p>
      <w:pPr>
        <w:pStyle w:val="2"/>
        <w:rPr>
          <w:rFonts w:ascii="宋体" w:hAnsi="宋体" w:cs="宋体"/>
          <w:color w:val="000000"/>
          <w:sz w:val="24"/>
        </w:rPr>
      </w:pPr>
    </w:p>
    <w:p>
      <w:pPr>
        <w:pStyle w:val="2"/>
        <w:ind w:firstLine="4080" w:firstLineChars="1700"/>
        <w:rPr>
          <w:rFonts w:ascii="宋体" w:hAnsi="宋体" w:cs="宋体"/>
          <w:color w:val="000000"/>
          <w:sz w:val="24"/>
        </w:rPr>
      </w:pPr>
      <w:r>
        <w:rPr>
          <w:rFonts w:hint="eastAsia" w:ascii="宋体" w:hAnsi="宋体" w:cs="宋体"/>
          <w:color w:val="000000"/>
          <w:sz w:val="24"/>
        </w:rPr>
        <w:t>成都市温江区和居路幼儿园</w:t>
      </w:r>
    </w:p>
    <w:p>
      <w:pPr>
        <w:pStyle w:val="2"/>
        <w:rPr>
          <w:rFonts w:ascii="宋体" w:hAnsi="宋体" w:cs="宋体"/>
          <w:color w:val="000000"/>
          <w:sz w:val="24"/>
        </w:rPr>
      </w:pPr>
      <w:r>
        <w:rPr>
          <w:rFonts w:hint="eastAsia" w:ascii="宋体" w:hAnsi="宋体" w:cs="宋体"/>
          <w:color w:val="000000"/>
          <w:sz w:val="24"/>
        </w:rPr>
        <w:t xml:space="preserve"> </w:t>
      </w:r>
    </w:p>
    <w:p>
      <w:pPr>
        <w:pStyle w:val="2"/>
        <w:ind w:firstLine="6240" w:firstLineChars="2600"/>
        <w:rPr>
          <w:rFonts w:ascii="宋体" w:hAnsi="宋体" w:cs="宋体"/>
          <w:color w:val="000000"/>
          <w:sz w:val="24"/>
        </w:rPr>
      </w:pPr>
      <w:r>
        <w:rPr>
          <w:rFonts w:hint="eastAsia" w:ascii="宋体" w:hAnsi="宋体" w:cs="宋体"/>
          <w:color w:val="000000"/>
          <w:sz w:val="24"/>
        </w:rPr>
        <w:t>2022.5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0556B"/>
    <w:multiLevelType w:val="singleLevel"/>
    <w:tmpl w:val="8830556B"/>
    <w:lvl w:ilvl="0" w:tentative="0">
      <w:start w:val="2"/>
      <w:numFmt w:val="chineseCounting"/>
      <w:suff w:val="nothing"/>
      <w:lvlText w:val="%1、"/>
      <w:lvlJc w:val="left"/>
      <w:rPr>
        <w:rFonts w:hint="eastAsia"/>
      </w:rPr>
    </w:lvl>
  </w:abstractNum>
  <w:abstractNum w:abstractNumId="1">
    <w:nsid w:val="1DA9454A"/>
    <w:multiLevelType w:val="singleLevel"/>
    <w:tmpl w:val="1DA9454A"/>
    <w:lvl w:ilvl="0" w:tentative="0">
      <w:start w:val="3"/>
      <w:numFmt w:val="chineseCounting"/>
      <w:suff w:val="nothing"/>
      <w:lvlText w:val="（%1）"/>
      <w:lvlJc w:val="left"/>
      <w:rPr>
        <w:rFonts w:hint="eastAsia"/>
      </w:rPr>
    </w:lvl>
  </w:abstractNum>
  <w:abstractNum w:abstractNumId="2">
    <w:nsid w:val="428882C3"/>
    <w:multiLevelType w:val="singleLevel"/>
    <w:tmpl w:val="428882C3"/>
    <w:lvl w:ilvl="0" w:tentative="0">
      <w:start w:val="1"/>
      <w:numFmt w:val="chineseCounting"/>
      <w:suff w:val="nothing"/>
      <w:lvlText w:val="（%1）"/>
      <w:lvlJc w:val="left"/>
      <w:rPr>
        <w:rFonts w:hint="eastAsia"/>
      </w:rPr>
    </w:lvl>
  </w:abstractNum>
  <w:abstractNum w:abstractNumId="3">
    <w:nsid w:val="66DD970F"/>
    <w:multiLevelType w:val="singleLevel"/>
    <w:tmpl w:val="66DD970F"/>
    <w:lvl w:ilvl="0" w:tentative="0">
      <w:start w:val="5"/>
      <w:numFmt w:val="chineseCounting"/>
      <w:suff w:val="nothing"/>
      <w:lvlText w:val="%1、"/>
      <w:lvlJc w:val="left"/>
      <w:rPr>
        <w:rFonts w:hint="eastAsia"/>
      </w:rPr>
    </w:lvl>
  </w:abstractNum>
  <w:abstractNum w:abstractNumId="4">
    <w:nsid w:val="6953A252"/>
    <w:multiLevelType w:val="singleLevel"/>
    <w:tmpl w:val="6953A252"/>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jNmQ2YjNlYjkyMThjNWRlNjA5NzM2ZDAxOWU3MTcifQ=="/>
  </w:docVars>
  <w:rsids>
    <w:rsidRoot w:val="00181CCB"/>
    <w:rsid w:val="0005507C"/>
    <w:rsid w:val="00064893"/>
    <w:rsid w:val="00181CCB"/>
    <w:rsid w:val="001936CB"/>
    <w:rsid w:val="003A165F"/>
    <w:rsid w:val="003D376E"/>
    <w:rsid w:val="004970E9"/>
    <w:rsid w:val="00523EC8"/>
    <w:rsid w:val="005F22E7"/>
    <w:rsid w:val="006314A7"/>
    <w:rsid w:val="00827BC6"/>
    <w:rsid w:val="009B6F8E"/>
    <w:rsid w:val="009D28CB"/>
    <w:rsid w:val="009D5136"/>
    <w:rsid w:val="00A3500E"/>
    <w:rsid w:val="00C433E1"/>
    <w:rsid w:val="00C47284"/>
    <w:rsid w:val="00C75378"/>
    <w:rsid w:val="00CF2720"/>
    <w:rsid w:val="00D357B8"/>
    <w:rsid w:val="00F24287"/>
    <w:rsid w:val="00FD4234"/>
    <w:rsid w:val="05975531"/>
    <w:rsid w:val="107F539E"/>
    <w:rsid w:val="15216D48"/>
    <w:rsid w:val="1DC3759C"/>
    <w:rsid w:val="1F046035"/>
    <w:rsid w:val="1F1B0802"/>
    <w:rsid w:val="224402D3"/>
    <w:rsid w:val="30E43CB2"/>
    <w:rsid w:val="30FE1A2B"/>
    <w:rsid w:val="34467DAB"/>
    <w:rsid w:val="382B6C54"/>
    <w:rsid w:val="38715E86"/>
    <w:rsid w:val="39A71371"/>
    <w:rsid w:val="3C044069"/>
    <w:rsid w:val="498D04C5"/>
    <w:rsid w:val="4F37628C"/>
    <w:rsid w:val="58D15028"/>
    <w:rsid w:val="682616B3"/>
    <w:rsid w:val="6D92196F"/>
    <w:rsid w:val="75662D10"/>
    <w:rsid w:val="79B75AC3"/>
    <w:rsid w:val="7E0D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Char"/>
    <w:basedOn w:val="8"/>
    <w:link w:val="2"/>
    <w:qFormat/>
    <w:uiPriority w:val="99"/>
    <w:rPr>
      <w:rFonts w:ascii="Calibri" w:hAnsi="Calibri" w:eastAsia="宋体" w:cs="Times New Roman"/>
      <w:szCs w:val="24"/>
    </w:rPr>
  </w:style>
  <w:style w:type="paragraph" w:customStyle="1" w:styleId="10">
    <w:name w:val="p0"/>
    <w:basedOn w:val="1"/>
    <w:qFormat/>
    <w:uiPriority w:val="0"/>
    <w:pPr>
      <w:widowControl/>
    </w:pPr>
    <w:rPr>
      <w:rFonts w:ascii="Times New Roman" w:hAnsi="Times New Roman"/>
      <w:kern w:val="0"/>
      <w:szCs w:val="20"/>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页脚 Char"/>
    <w:basedOn w:val="8"/>
    <w:link w:val="4"/>
    <w:qFormat/>
    <w:uiPriority w:val="99"/>
    <w:rPr>
      <w:rFonts w:ascii="Calibri" w:hAnsi="Calibri" w:eastAsia="宋体" w:cs="Times New Roman"/>
      <w:sz w:val="18"/>
      <w:szCs w:val="18"/>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2241</Words>
  <Characters>2388</Characters>
  <Lines>19</Lines>
  <Paragraphs>5</Paragraphs>
  <TotalTime>1</TotalTime>
  <ScaleCrop>false</ScaleCrop>
  <LinksUpToDate>false</LinksUpToDate>
  <CharactersWithSpaces>2509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2021-05-27T03:59:00Z</dcterms:created>
  <dc:creator>001</dc:creator>
  <cp:lastModifiedBy>莹</cp:lastModifiedBy>
  <cp:lastPrinted>2021-06-08T04:47:00Z</cp:lastPrinted>
  <dcterms:modified xsi:type="dcterms:W3CDTF">2022-09-14T05:34:35Z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8F6832FF3B204597B6A66822656FE65F</vt:lpwstr>
  </property>
</Properties>
</file>